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Motivasjon for studiet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Innholdsfortegnelse</w:t>
          </w:r>
        </w:p>
        <w:p>
          <w:r>
            <w:fldChar w:fldCharType="begin" w:dirty="true"/>
            <w:instrText xml:space="preserve">TOC \o "1-4" \h \z \u</w:instrText>
            <w:fldChar w:fldCharType="separate"/>
            <w:fldChar w:fldCharType="end"/>
          </w:r>
        </w:p>
      </w:sdtContent>
    </w:sdt>
    <w:sdt>
      <w:sdtPr>
        <w:docPartObj>
          <w:docPartGallery w:val="List of Figures"/>
          <w:docPartUnique/>
        </w:docPartObj>
      </w:sdtPr>
      <w:sdtContent>
        <w:p>
          <w:pPr>
            <w:pStyle w:val="TOCHeading"/>
          </w:pPr>
          <w:r>
            <w:t xml:space="preserve">Figurer</w:t>
          </w:r>
        </w:p>
        <w:p>
          <w:r>
            <w:fldChar w:fldCharType="begin" w:dirty="true"/>
            <w:instrText xml:space="preserve">TOC \h \z \t "Image Caption" \c</w:instrText>
            <w:fldChar w:fldCharType="separate"/>
            <w:fldChar w:fldCharType="end"/>
          </w:r>
        </w:p>
      </w:sdtContent>
    </w:sdt>
    <w:sdt>
      <w:sdtPr>
        <w:docPartObj>
          <w:docPartGallery w:val="List of Tables"/>
          <w:docPartUnique/>
        </w:docPartObj>
      </w:sdtPr>
      <w:sdtContent>
        <w:p>
          <w:pPr>
            <w:pStyle w:val="TOCHeading"/>
          </w:pPr>
          <w:r>
            <w:t xml:space="preserve">Tabeller</w:t>
          </w:r>
        </w:p>
        <w:p>
          <w:r>
            <w:fldChar w:fldCharType="begin" w:dirty="true"/>
            <w:instrText xml:space="preserve">TOC \h \z \t "Table Caption" \c</w:instrText>
            <w:fldChar w:fldCharType="separate"/>
            <w:fldChar w:fldCharType="end"/>
          </w:r>
        </w:p>
      </w:sdtContent>
    </w:sdt>
    <w:bookmarkStart w:id="25" w:name="motivasjon-for-studiet"/>
    <w:p>
      <w:pPr>
        <w:pStyle w:val="Heading1"/>
      </w:pPr>
      <w:r>
        <w:t xml:space="preserve">4. Motivasjon for studiet</w:t>
      </w:r>
    </w:p>
    <w:bookmarkStart w:id="24" w:name="Xc51140622e4d69f5d5c521f160b5ce2cc6d5317"/>
    <w:p>
      <w:pPr>
        <w:pStyle w:val="Heading2"/>
      </w:pPr>
      <w:r>
        <w:t xml:space="preserve">4.1 Hvor enig er du i følgende påstander om din motivasjon for å starte på fagskoleutdanningen?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3" w:name="X8d175fa4067002bbd9937faaceab6a1de0d94a2"/>
          <w:p>
            <w:pPr>
              <w:jc w:val="center"/>
            </w:pPr>
            <w:r>
              <w:drawing>
                <wp:inline>
                  <wp:extent cx="5321257" cy="11009498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04_Motivasjon_f_files/figure-docx/unnamed-chunk-2-1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1257" cy="110094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4.1</w:t>
            </w:r>
          </w:p>
          <w:bookmarkEnd w:id="23"/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nb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Motivasjon for studiet</dc:title>
  <dc:creator/>
  <dc:language>nb</dc:language>
  <cp:keywords/>
  <dcterms:created xsi:type="dcterms:W3CDTF">2026-04-09T12:13:37Z</dcterms:created>
  <dcterms:modified xsi:type="dcterms:W3CDTF">2026-04-09T12:13:37Z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endex-cite-as">
    <vt:lpwstr>False</vt:lpwstr>
  </property>
  <property fmtid="{D5CDD505-2E9C-101B-9397-08002B2CF9AE}" pid="3" name="biblio-config">
    <vt:lpwstr>True</vt:lpwstr>
  </property>
  <property fmtid="{D5CDD505-2E9C-101B-9397-08002B2CF9AE}" pid="4" name="cache.comments">
    <vt:lpwstr>False</vt:lpwstr>
  </property>
  <property fmtid="{D5CDD505-2E9C-101B-9397-08002B2CF9AE}" pid="5" name="citation-location">
    <vt:lpwstr>margin</vt:lpwstr>
  </property>
  <property fmtid="{D5CDD505-2E9C-101B-9397-08002B2CF9AE}" pid="6" name="crossref">
    <vt:lpwstr/>
  </property>
  <property fmtid="{D5CDD505-2E9C-101B-9397-08002B2CF9AE}" pid="7" name="csl">
    <vt:lpwstr>../../../config/style.csl</vt:lpwstr>
  </property>
  <property fmtid="{D5CDD505-2E9C-101B-9397-08002B2CF9AE}" pid="8" name="fig-cap-location">
    <vt:lpwstr>bottom</vt:lpwstr>
  </property>
  <property fmtid="{D5CDD505-2E9C-101B-9397-08002B2CF9AE}" pid="9" name="figure_table">
    <vt:lpwstr>False</vt:lpwstr>
  </property>
  <property fmtid="{D5CDD505-2E9C-101B-9397-08002B2CF9AE}" pid="10" name="funder">
    <vt:lpwstr>HK-dir</vt:lpwstr>
  </property>
  <property fmtid="{D5CDD505-2E9C-101B-9397-08002B2CF9AE}" pid="11" name="funder_address">
    <vt:lpwstr/>
  </property>
  <property fmtid="{D5CDD505-2E9C-101B-9397-08002B2CF9AE}" pid="12" name="google-scholar">
    <vt:lpwstr>True</vt:lpwstr>
  </property>
  <property fmtid="{D5CDD505-2E9C-101B-9397-08002B2CF9AE}" pid="13" name="header-includes">
    <vt:lpwstr/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issn">
    <vt:lpwstr>1894-8200 (online)</vt:lpwstr>
  </property>
  <property fmtid="{D5CDD505-2E9C-101B-9397-08002B2CF9AE}" pid="17" name="labels">
    <vt:lpwstr/>
  </property>
  <property fmtid="{D5CDD505-2E9C-101B-9397-08002B2CF9AE}" pid="18" name="license">
    <vt:lpwstr/>
  </property>
  <property fmtid="{D5CDD505-2E9C-101B-9397-08002B2CF9AE}" pid="19" name="lof">
    <vt:lpwstr>True</vt:lpwstr>
  </property>
  <property fmtid="{D5CDD505-2E9C-101B-9397-08002B2CF9AE}" pid="20" name="lot">
    <vt:lpwstr>True</vt:lpwstr>
  </property>
  <property fmtid="{D5CDD505-2E9C-101B-9397-08002B2CF9AE}" pid="21" name="number-depth">
    <vt:lpwstr>3</vt:lpwstr>
  </property>
  <property fmtid="{D5CDD505-2E9C-101B-9397-08002B2CF9AE}" pid="22" name="project_no">
    <vt:lpwstr/>
  </property>
  <property fmtid="{D5CDD505-2E9C-101B-9397-08002B2CF9AE}" pid="23" name="quarto-required">
    <vt:lpwstr>= 1.5</vt:lpwstr>
  </property>
  <property fmtid="{D5CDD505-2E9C-101B-9397-08002B2CF9AE}" pid="24" name="table_table">
    <vt:lpwstr>False</vt:lpwstr>
  </property>
  <property fmtid="{D5CDD505-2E9C-101B-9397-08002B2CF9AE}" pid="25" name="tbl-cap-location">
    <vt:lpwstr>top</vt:lpwstr>
  </property>
  <property fmtid="{D5CDD505-2E9C-101B-9397-08002B2CF9AE}" pid="26" name="toc-title">
    <vt:lpwstr>Innholdsfortegnelse</vt:lpwstr>
  </property>
</Properties>
</file>